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3E" w:rsidRPr="000B0F3E" w:rsidRDefault="000B0F3E" w:rsidP="000B0F3E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ПРЕСС-РЕЛИЗ</w:t>
      </w:r>
    </w:p>
    <w:p w:rsidR="000B0F3E" w:rsidRDefault="000B0F3E" w:rsidP="000B0F3E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</w:p>
    <w:p w:rsidR="000B0F3E" w:rsidRPr="000B0F3E" w:rsidRDefault="000B0F3E" w:rsidP="000B0F3E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 w:rsidRPr="000B0F3E">
        <w:rPr>
          <w:rFonts w:ascii="Segoe UI" w:hAnsi="Segoe UI" w:cs="Segoe UI"/>
          <w:b/>
          <w:sz w:val="32"/>
        </w:rPr>
        <w:t>С видом на море: особенности приобретения недвижимости на берегу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123825</wp:posOffset>
            </wp:positionV>
            <wp:extent cx="2124075" cy="592455"/>
            <wp:effectExtent l="19050" t="0" r="9525" b="0"/>
            <wp:wrapTight wrapText="bothSides">
              <wp:wrapPolygon edited="0">
                <wp:start x="-194" y="0"/>
                <wp:lineTo x="-194" y="20836"/>
                <wp:lineTo x="21697" y="20836"/>
                <wp:lineTo x="21697" y="0"/>
                <wp:lineTo x="-194" y="0"/>
              </wp:wrapPolygon>
            </wp:wrapTight>
            <wp:docPr id="7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0F3E">
        <w:rPr>
          <w:rFonts w:ascii="Segoe UI" w:hAnsi="Segoe UI" w:cs="Segoe UI"/>
          <w:sz w:val="24"/>
        </w:rPr>
        <w:t>Вблизи водных объектов могут быть установлены два вида зон с особыми условиями использования территорий: водоохранная зона и прибрежная защитная полоса водных объектов общего пользования. В их границах могут располагаться земельные участки (пункты 13-14 статьи 105 Земельного кодекса Российской Федерации (ЗК РФ). Для начала предлагаем разобраться в терминах.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0B0F3E">
        <w:rPr>
          <w:rFonts w:ascii="Segoe UI" w:hAnsi="Segoe UI" w:cs="Segoe UI"/>
          <w:b/>
          <w:sz w:val="24"/>
        </w:rPr>
        <w:t>Что такое береговая линия, водоохранная зона и прибрежная защитная полоса?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Береговая линия – это граница водоема. Она определяется в зависимости от его вида: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для моря – по постоянному уровню воды или по линии максимального отлива, если уровень воды периодически меняется;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для реки, ручья, канала, озера, обводненного карьера – по среднемноголетнему уровню вод в период, когда они не покрыты льдом;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для пруда, водохранилища – по нормальному подпорному уровню воды;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для болота – по границе залежи торфа на нулевой глубине.</w:t>
      </w:r>
    </w:p>
    <w:p w:rsidR="000B0F3E" w:rsidRPr="000B0F3E" w:rsidRDefault="005406A6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hyperlink r:id="rId6" w:history="1">
        <w:r w:rsidR="000B0F3E" w:rsidRPr="000B0F3E">
          <w:rPr>
            <w:rStyle w:val="a4"/>
            <w:rFonts w:ascii="Segoe UI" w:hAnsi="Segoe UI" w:cs="Segoe UI"/>
            <w:sz w:val="24"/>
          </w:rPr>
          <w:t>В статье 65</w:t>
        </w:r>
      </w:hyperlink>
      <w:r w:rsidR="000B0F3E" w:rsidRPr="000B0F3E">
        <w:rPr>
          <w:rFonts w:ascii="Segoe UI" w:hAnsi="Segoe UI" w:cs="Segoe UI"/>
          <w:sz w:val="24"/>
        </w:rPr>
        <w:t> Водного кодекса закреплено, что водоохранная зона – это территория, которая примыкает к береговой линии водоема. Там действует специальный режим для хозяйственной и иной деятельности, чтобы предотвратить истощение и загрязнение берега и воды, при этом сохранить среду обитания местных растений и животных. Ее ширина зависит от вида водоема. Подробнее о размерах водоохранных зон и влияющих на это факторах </w:t>
      </w:r>
      <w:hyperlink r:id="rId7" w:history="1">
        <w:r w:rsidR="000B0F3E" w:rsidRPr="000B0F3E">
          <w:rPr>
            <w:rStyle w:val="a4"/>
            <w:rFonts w:ascii="Segoe UI" w:hAnsi="Segoe UI" w:cs="Segoe UI"/>
            <w:sz w:val="24"/>
          </w:rPr>
          <w:t>читайте</w:t>
        </w:r>
      </w:hyperlink>
      <w:r w:rsidR="000B0F3E" w:rsidRPr="000B0F3E">
        <w:rPr>
          <w:rFonts w:ascii="Segoe UI" w:hAnsi="Segoe UI" w:cs="Segoe UI"/>
          <w:sz w:val="24"/>
        </w:rPr>
        <w:t> в частях 4-10 статьи 65 Водного кодекса Российской Федерации (ВК РФ). 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В пределах водоохранных зон существуют прибрежные защитные полосы – территории с еще более строгими ограничениями. Эти земли привлекательны для желающих построить домик у моря или отель, но они имеют особые правила использования.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0B0F3E">
        <w:rPr>
          <w:rFonts w:ascii="Segoe UI" w:hAnsi="Segoe UI" w:cs="Segoe UI"/>
          <w:b/>
          <w:sz w:val="24"/>
        </w:rPr>
        <w:t>Как узнать, входит ли земельный участок в границы водоохранной зоны?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Чтобы узнать, входит ли земельный участок в границы водоохранной зоны, выберите один из этих способов: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закажите выписку из Единого государственного реестра недвижимости (ЕГРН) и получите ее за несколько минут в </w:t>
      </w:r>
      <w:hyperlink r:id="rId8" w:history="1">
        <w:r w:rsidRPr="000B0F3E">
          <w:rPr>
            <w:rStyle w:val="a4"/>
            <w:rFonts w:ascii="Segoe UI" w:hAnsi="Segoe UI" w:cs="Segoe UI"/>
            <w:sz w:val="24"/>
          </w:rPr>
          <w:t>онлайн-сервисе ФКП</w:t>
        </w:r>
      </w:hyperlink>
      <w:r w:rsidRPr="000B0F3E">
        <w:rPr>
          <w:rFonts w:ascii="Segoe UI" w:hAnsi="Segoe UI" w:cs="Segoe UI"/>
          <w:sz w:val="24"/>
        </w:rPr>
        <w:t>. Документ можно получить и на руки в течение трех-пяти рабочих дней, оформив заявку на </w:t>
      </w:r>
      <w:hyperlink r:id="rId9" w:history="1">
        <w:r w:rsidRPr="000B0F3E">
          <w:rPr>
            <w:rStyle w:val="a4"/>
            <w:rFonts w:ascii="Segoe UI" w:hAnsi="Segoe UI" w:cs="Segoe UI"/>
            <w:sz w:val="24"/>
          </w:rPr>
          <w:t>сайте Росреестра</w:t>
        </w:r>
      </w:hyperlink>
      <w:r w:rsidRPr="000B0F3E">
        <w:rPr>
          <w:rFonts w:ascii="Segoe UI" w:hAnsi="Segoe UI" w:cs="Segoe UI"/>
          <w:sz w:val="24"/>
        </w:rPr>
        <w:t> или в многофункциональном центре (МФЦ);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откройте онлайн-сервис </w:t>
      </w:r>
      <w:hyperlink r:id="rId10" w:history="1">
        <w:r w:rsidRPr="000B0F3E">
          <w:rPr>
            <w:rStyle w:val="a4"/>
            <w:rFonts w:ascii="Segoe UI" w:hAnsi="Segoe UI" w:cs="Segoe UI"/>
            <w:sz w:val="24"/>
          </w:rPr>
          <w:t>«Публичная кадастровая карта»</w:t>
        </w:r>
      </w:hyperlink>
      <w:r w:rsidRPr="000B0F3E">
        <w:rPr>
          <w:rFonts w:ascii="Segoe UI" w:hAnsi="Segoe UI" w:cs="Segoe UI"/>
          <w:sz w:val="24"/>
        </w:rPr>
        <w:t xml:space="preserve">. Для отображения границ водоохранных зон и прибрежных защитных полос выберите инструмент «Слои» в панели инструментов в левом верхнем углу. Далее раскройте строку с названием слоя «Зоны с особыми условиями использования территорий» и в выпадающем списке поставьте галочку на слое «Зоны охраны природных объектов». Увеличьте карту, и территории этих </w:t>
      </w:r>
      <w:r w:rsidRPr="000B0F3E">
        <w:rPr>
          <w:rFonts w:ascii="Segoe UI" w:hAnsi="Segoe UI" w:cs="Segoe UI"/>
          <w:sz w:val="24"/>
        </w:rPr>
        <w:lastRenderedPageBreak/>
        <w:t>зон будут обозначены салатовым цветом. В окне поиска найдите свою недвижимость по кадастровому номеру или адресу участка.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Обращаем внимание, что границы водоохранной зоны отображаются только если координаты ее границ внесены в ЕГРН. Их установление и внесение в реестр крайне важно, так как предупреждает риск возникновения нарушений при предоставлении юридическим и физическим лицам земельных участков, фактически попадающих в границы таких зон.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Владение информацией об ограничениях на земельном участке и соблюдение особого режима его использования помогает защитить окружающую среду и водоемы, а также обезопасить жизнь и здоровье человека. В связи с этим Федеральная кадастровая палата напоминает о принципах использования берегов водоемов.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0B0F3E">
        <w:rPr>
          <w:rFonts w:ascii="Segoe UI" w:hAnsi="Segoe UI" w:cs="Segoe UI"/>
          <w:b/>
          <w:sz w:val="24"/>
        </w:rPr>
        <w:t>Можно ли строить в границах береговой и водоохранной зоны?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Береговая полоса – полоса земли общего пользования вдоль береговой линии (границы водного объекта).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километров, а ширина - пять метров. Любой желающий может бесплатно использовать отрезок этой территории. Граждане вправе пользоваться (без использования механических транспортных средств) береговой полосой водных объектов общего пользования: находиться, передвигаться, ловить рыбу (только любители) и причаливать к берегу.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Все водные объекты, кроме пруда и обводненного карьера на частном земельном участке, </w:t>
      </w:r>
      <w:hyperlink r:id="rId11" w:history="1">
        <w:r w:rsidRPr="000B0F3E">
          <w:rPr>
            <w:rStyle w:val="a4"/>
            <w:rFonts w:ascii="Segoe UI" w:hAnsi="Segoe UI" w:cs="Segoe UI"/>
            <w:sz w:val="24"/>
          </w:rPr>
          <w:t>находятся</w:t>
        </w:r>
      </w:hyperlink>
      <w:r w:rsidRPr="000B0F3E">
        <w:rPr>
          <w:rFonts w:ascii="Segoe UI" w:hAnsi="Segoe UI" w:cs="Segoe UI"/>
          <w:sz w:val="24"/>
        </w:rPr>
        <w:t> в федеральной собственности. Из водоемов нельзя создать земельный участок и поселиться на нем. Построить можно только гидротехнические сооружения и линейные объекты, например, систему очистки воды и мосты.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Обращаем внимание, земельные участки в пределах береговой полосы, установленной в соответствии с ВК РФ, а также земельные участки на территориях общего пользования с прудами и обводненными карьерами приватизировать, то есть выкупить у государства, </w:t>
      </w:r>
      <w:hyperlink r:id="rId12" w:anchor=":~:text=8.,%D0%B2%20%D0%B3%D1%80%D0%B0%D0%BD%D0%B8%D1%86%D0%B0%D1%85%20%D1%82%D0%B5%D1%80%D1%80%D0%B8%D1%82%D0%BE%D1%80%D0%B8%D0%B9%20%D0%BE%D0%B1%D1%89%D0%B5%D0%B3%D0%BE%20%D0%BF%D0%BE%D0%BB%D1%8C%D0%B7%D0%BE%D0%B2%D0%B0%D0%BD%D0%B8%D1%8F." w:history="1">
        <w:r w:rsidRPr="000B0F3E">
          <w:rPr>
            <w:rStyle w:val="a4"/>
            <w:rFonts w:ascii="Segoe UI" w:hAnsi="Segoe UI" w:cs="Segoe UI"/>
            <w:sz w:val="24"/>
          </w:rPr>
          <w:t>нельзя</w:t>
        </w:r>
      </w:hyperlink>
      <w:r w:rsidRPr="000B0F3E">
        <w:rPr>
          <w:rFonts w:ascii="Segoe UI" w:hAnsi="Segoe UI" w:cs="Segoe UI"/>
          <w:sz w:val="24"/>
        </w:rPr>
        <w:t> (пункт 8 статьи 27 ЗК РФ). Застройка береговой полосы тоже не допускается.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А вот за пределами береговой полосы можно приобрести, сдать в аренду или построить недвижимость при условии соблюдения всех санитарных и водоохранных требований и норм. Это значит, что на участке, расположенном в водоохранной зоне, можно возвести индивидуальный жилой или садовый дом. Необходимо оборудовать его сооружениями, обеспечивающими охрану водных объектов от загрязнения, засорения, заиления, истощения вод. К таким устройствам относятся канализации, ливнеотводы, колодцы, дренажные установки, системы очистки воды. Полный </w:t>
      </w:r>
      <w:hyperlink r:id="rId13" w:history="1">
        <w:r w:rsidRPr="000B0F3E">
          <w:rPr>
            <w:rStyle w:val="a4"/>
            <w:rFonts w:ascii="Segoe UI" w:hAnsi="Segoe UI" w:cs="Segoe UI"/>
            <w:sz w:val="24"/>
          </w:rPr>
          <w:t>перечень</w:t>
        </w:r>
      </w:hyperlink>
      <w:r w:rsidRPr="000B0F3E">
        <w:rPr>
          <w:rFonts w:ascii="Segoe UI" w:hAnsi="Segoe UI" w:cs="Segoe UI"/>
          <w:sz w:val="24"/>
        </w:rPr>
        <w:t> сооружений указан в пункте 16 статьи 65 Водного кодекса.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Выбор устройств зависит от допустимых норм сбросов загрязняющих веществ, установленных в законодательстве об охране окружающей среды.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0B0F3E">
        <w:rPr>
          <w:rFonts w:ascii="Segoe UI" w:hAnsi="Segoe UI" w:cs="Segoe UI"/>
          <w:b/>
          <w:sz w:val="24"/>
        </w:rPr>
        <w:t>ВАЖНО!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Не забудьте, что водные объекты законодательно защищены водоохранными зонами и прибрежными защитными полосами, поэтому вблизи водоемов действуют ограничения. В границах водоохранных зон запрещается: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lastRenderedPageBreak/>
        <w:t>сбрасывать сточные и дренажные воды, использовать сточные воды для удобрения почв;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размещать кладбища, скотомогильники, свалки, заправки, склады горюче-смазочных материалов;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уничтожать вредные организмы при помощи авиации (сбрасывать из самолета химикаты на насекомых);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передвигаться, делать остановки, мыть транспортные средства (кроме специальных). Движение допускается только на дорогах, а стоянки – на дорогах и в оборудованных местах с твёрдым покрытием;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хранить и применять пестициды и агрохимикаты;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искать и добывать полезные ископаемые, если вы не пользователь недр.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На территориях прибрежных защитных полос также есть запреты. Не разрешается: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распашка земель;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размещение отвалов размываемых грунтов;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выпас сельскохозяйственных животных и организация для них летних лагерей, ванн.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За </w:t>
      </w:r>
      <w:hyperlink r:id="rId14" w:history="1">
        <w:r w:rsidRPr="000B0F3E">
          <w:rPr>
            <w:rStyle w:val="a4"/>
            <w:rFonts w:ascii="Segoe UI" w:hAnsi="Segoe UI" w:cs="Segoe UI"/>
            <w:sz w:val="24"/>
          </w:rPr>
          <w:t>нарушение</w:t>
        </w:r>
      </w:hyperlink>
      <w:r w:rsidRPr="000B0F3E">
        <w:rPr>
          <w:rFonts w:ascii="Segoe UI" w:hAnsi="Segoe UI" w:cs="Segoe UI"/>
          <w:sz w:val="24"/>
        </w:rPr>
        <w:t> водного законодательства предусмотрена административная и уголовная ответственность.</w:t>
      </w:r>
    </w:p>
    <w:p w:rsid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0B0F3E">
        <w:rPr>
          <w:rFonts w:ascii="Segoe UI" w:hAnsi="Segoe UI" w:cs="Segoe UI"/>
          <w:b/>
          <w:sz w:val="24"/>
        </w:rPr>
        <w:t>Справочно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 </w:t>
      </w:r>
    </w:p>
    <w:p w:rsidR="000B0F3E" w:rsidRPr="000B0F3E" w:rsidRDefault="000B0F3E" w:rsidP="000B0F3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0B0F3E">
        <w:rPr>
          <w:rFonts w:ascii="Segoe UI" w:hAnsi="Segoe UI" w:cs="Segoe UI"/>
          <w:sz w:val="24"/>
        </w:rPr>
        <w:t>Границы водоохранных зон и прибрежных защитных полос, в том числе их обозначение на местности информационными знаками, устанавливают территориальные органы Федерального агентства водных ресурсов или органы государственной власти субъектов России, в случаях, предусмотренных пунктом 3 Правил установления границ водоохранных зон и границ прибрежных защитных полос водных объектов, утвержденных постановлением Правительства Российской Федерации от 10.01.2009 № 17.</w:t>
      </w:r>
    </w:p>
    <w:p w:rsidR="000B0F3E" w:rsidRPr="006513E9" w:rsidRDefault="000B0F3E" w:rsidP="000B0F3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 w:rsidRPr="006513E9">
        <w:rPr>
          <w:rFonts w:ascii="Segoe UI" w:eastAsia="Times New Roman" w:hAnsi="Segoe UI" w:cs="Segoe UI"/>
          <w:color w:val="000000"/>
          <w:sz w:val="24"/>
          <w:szCs w:val="28"/>
        </w:rPr>
        <w:t>______________________________________________________________________________________________________</w:t>
      </w:r>
    </w:p>
    <w:p w:rsidR="000B0F3E" w:rsidRPr="006513E9" w:rsidRDefault="000B0F3E" w:rsidP="000B0F3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 w:rsidRPr="006513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8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13E9">
        <w:rPr>
          <w:rFonts w:ascii="Segoe UI" w:eastAsia="Times New Roman" w:hAnsi="Segoe UI" w:cs="Segoe UI"/>
          <w:color w:val="000000"/>
          <w:sz w:val="24"/>
          <w:szCs w:val="28"/>
        </w:rPr>
        <w:t>Пресс-служба Кадастровой палаты по Краснодарскому краю</w:t>
      </w:r>
    </w:p>
    <w:p w:rsidR="000B0F3E" w:rsidRPr="006513E9" w:rsidRDefault="000B0F3E" w:rsidP="000B0F3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 w:rsidRPr="006513E9">
        <w:rPr>
          <w:rFonts w:ascii="Segoe UI" w:eastAsia="Times New Roman" w:hAnsi="Segoe UI" w:cs="Segoe UI"/>
          <w:sz w:val="24"/>
          <w:szCs w:val="24"/>
        </w:rPr>
        <w:t>ул. Сормовская, д. 3, Краснодар, 350018</w:t>
      </w:r>
    </w:p>
    <w:p w:rsidR="000B0F3E" w:rsidRPr="006513E9" w:rsidRDefault="000B0F3E" w:rsidP="000B0F3E">
      <w:pPr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</w:rPr>
      </w:pPr>
    </w:p>
    <w:tbl>
      <w:tblPr>
        <w:tblStyle w:val="a7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672"/>
        <w:gridCol w:w="4480"/>
      </w:tblGrid>
      <w:tr w:rsidR="000B0F3E" w:rsidRPr="006513E9" w:rsidTr="00A00BE8">
        <w:trPr>
          <w:jc w:val="center"/>
        </w:trPr>
        <w:tc>
          <w:tcPr>
            <w:tcW w:w="775" w:type="dxa"/>
            <w:hideMark/>
          </w:tcPr>
          <w:p w:rsidR="000B0F3E" w:rsidRPr="006513E9" w:rsidRDefault="000B0F3E" w:rsidP="00A00BE8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</w:rPr>
            </w:pPr>
            <w:r w:rsidRPr="006513E9">
              <w:rPr>
                <w:rFonts w:ascii="Segoe UI" w:hAnsi="Segoe UI" w:cs="Segoe UI"/>
                <w:noProof/>
                <w:color w:val="0000FF"/>
                <w:sz w:val="24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9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0B0F3E" w:rsidRPr="006513E9" w:rsidRDefault="005406A6" w:rsidP="00A00BE8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  <w:u w:val="single"/>
              </w:rPr>
            </w:pPr>
            <w:hyperlink r:id="rId17" w:history="1">
              <w:r w:rsidR="000B0F3E" w:rsidRPr="006513E9">
                <w:rPr>
                  <w:rFonts w:ascii="Segoe UI" w:hAnsi="Segoe UI" w:cs="Segoe UI"/>
                  <w:color w:val="0000FF"/>
                  <w:sz w:val="24"/>
                  <w:szCs w:val="28"/>
                  <w:u w:val="single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0B0F3E" w:rsidRPr="006513E9" w:rsidRDefault="000B0F3E" w:rsidP="00A00BE8">
            <w:pPr>
              <w:contextualSpacing/>
              <w:rPr>
                <w:rFonts w:ascii="Segoe UI" w:hAnsi="Segoe UI" w:cs="Segoe UI"/>
                <w:noProof/>
                <w:color w:val="0000FF"/>
                <w:u w:val="single"/>
              </w:rPr>
            </w:pPr>
            <w:r w:rsidRPr="006513E9"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65760"/>
                  <wp:effectExtent l="19050" t="0" r="3810" b="0"/>
                  <wp:docPr id="10" name="Рисунок 4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0B0F3E" w:rsidRPr="006513E9" w:rsidRDefault="000B0F3E" w:rsidP="00A00BE8">
            <w:pPr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6513E9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0B0F3E" w:rsidRPr="006513E9" w:rsidTr="00A00BE8">
        <w:trPr>
          <w:trHeight w:val="402"/>
          <w:jc w:val="center"/>
        </w:trPr>
        <w:tc>
          <w:tcPr>
            <w:tcW w:w="775" w:type="dxa"/>
            <w:hideMark/>
          </w:tcPr>
          <w:p w:rsidR="000B0F3E" w:rsidRPr="006513E9" w:rsidRDefault="000B0F3E" w:rsidP="00A00BE8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</w:rPr>
            </w:pPr>
            <w:r w:rsidRPr="006513E9">
              <w:rPr>
                <w:rFonts w:ascii="Segoe UI" w:hAnsi="Segoe UI" w:cs="Segoe UI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58140" cy="358140"/>
                  <wp:effectExtent l="19050" t="0" r="3810" b="0"/>
                  <wp:docPr id="11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0B0F3E" w:rsidRPr="006513E9" w:rsidRDefault="000B0F3E" w:rsidP="00A00BE8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  <w:u w:val="single"/>
              </w:rPr>
            </w:pPr>
            <w:r w:rsidRPr="006513E9">
              <w:rPr>
                <w:rFonts w:ascii="Segoe UI" w:hAnsi="Segoe UI" w:cs="Segoe UI"/>
                <w:color w:val="0000FF"/>
                <w:sz w:val="24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0B0F3E" w:rsidRPr="006513E9" w:rsidRDefault="000B0F3E" w:rsidP="00A00BE8">
            <w:pPr>
              <w:contextualSpacing/>
              <w:rPr>
                <w:rFonts w:ascii="Segoe UI" w:hAnsi="Segoe UI" w:cs="Segoe UI"/>
                <w:noProof/>
                <w:color w:val="0000FF"/>
                <w:u w:val="single"/>
              </w:rPr>
            </w:pPr>
            <w:r w:rsidRPr="006513E9"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12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0B0F3E" w:rsidRPr="006513E9" w:rsidRDefault="000B0F3E" w:rsidP="00A00BE8">
            <w:pPr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6513E9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565233" w:rsidRDefault="00565233"/>
    <w:sectPr w:rsidR="00565233" w:rsidSect="000B0F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40F"/>
    <w:multiLevelType w:val="multilevel"/>
    <w:tmpl w:val="675E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16F15"/>
    <w:multiLevelType w:val="multilevel"/>
    <w:tmpl w:val="AF40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07614"/>
    <w:multiLevelType w:val="multilevel"/>
    <w:tmpl w:val="FBD8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CD430C"/>
    <w:multiLevelType w:val="multilevel"/>
    <w:tmpl w:val="EC08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0B0F3E"/>
    <w:rsid w:val="000B0F3E"/>
    <w:rsid w:val="005406A6"/>
    <w:rsid w:val="00565233"/>
    <w:rsid w:val="00A1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A6"/>
  </w:style>
  <w:style w:type="paragraph" w:styleId="1">
    <w:name w:val="heading 1"/>
    <w:basedOn w:val="a"/>
    <w:link w:val="10"/>
    <w:uiPriority w:val="9"/>
    <w:qFormat/>
    <w:rsid w:val="000B0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F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B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B0F3E"/>
    <w:rPr>
      <w:color w:val="0000FF"/>
      <w:u w:val="single"/>
    </w:rPr>
  </w:style>
  <w:style w:type="character" w:styleId="a5">
    <w:name w:val="Emphasis"/>
    <w:basedOn w:val="a0"/>
    <w:uiPriority w:val="20"/>
    <w:qFormat/>
    <w:rsid w:val="000B0F3E"/>
    <w:rPr>
      <w:i/>
      <w:iCs/>
    </w:rPr>
  </w:style>
  <w:style w:type="character" w:styleId="a6">
    <w:name w:val="Strong"/>
    <w:basedOn w:val="a0"/>
    <w:uiPriority w:val="22"/>
    <w:qFormat/>
    <w:rsid w:val="000B0F3E"/>
    <w:rPr>
      <w:b/>
      <w:bCs/>
    </w:rPr>
  </w:style>
  <w:style w:type="table" w:styleId="a7">
    <w:name w:val="Table Grid"/>
    <w:basedOn w:val="a1"/>
    <w:uiPriority w:val="59"/>
    <w:rsid w:val="000B0F3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B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7259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792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223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254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367">
          <w:marLeft w:val="0"/>
          <w:marRight w:val="0"/>
          <w:marTop w:val="0"/>
          <w:marBottom w:val="276"/>
          <w:divBdr>
            <w:top w:val="none" w:sz="0" w:space="0" w:color="auto"/>
            <w:left w:val="single" w:sz="36" w:space="14" w:color="0077BE"/>
            <w:bottom w:val="none" w:sz="0" w:space="0" w:color="auto"/>
            <w:right w:val="none" w:sz="0" w:space="0" w:color="auto"/>
          </w:divBdr>
          <w:divsChild>
            <w:div w:id="989595029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magazine/articles/s-vidom-na-more-osobennosti-priobreteniya-nedvizhimosti-na-beregu/kadastr.ru/services/zakaz-vypisok-iz-egrn/" TargetMode="External"/><Relationship Id="rId13" Type="http://schemas.openxmlformats.org/officeDocument/2006/relationships/hyperlink" Target="https://kadastr.ru/magazine/articles/s-vidom-na-more-osobennosti-priobreteniya-nedvizhimosti-na-beregu/www.consultant.ru/document/cons_doc_LAW_60683/4c65ff0f232195d8dccc08535d2c3923d5b67f1c/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adastr.ru/magazine/articles/s-vidom-na-more-osobennosti-priobreteniya-nedvizhimosti-na-beregu/www.consultant.ru/document/cons_doc_LAW_60683/4c65ff0f232195d8dccc08535d2c3923d5b67f1c/" TargetMode="External"/><Relationship Id="rId12" Type="http://schemas.openxmlformats.org/officeDocument/2006/relationships/hyperlink" Target="https://kadastr.ru/magazine/articles/s-vidom-na-more-osobennosti-priobreteniya-nedvizhimosti-na-beregu/www.consultant.ru/document/cons_doc_LAW_33773/fb3b9f6c5786727ec9ea99d18258678dcbe363ef/" TargetMode="External"/><Relationship Id="rId17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kadastr.ru/magazine/articles/s-vidom-na-more-osobennosti-priobreteniya-nedvizhimosti-na-beregu/www.consultant.ru/document/cons_doc_LAW_60683/4c65ff0f232195d8dccc08535d2c3923d5b67f1c/" TargetMode="External"/><Relationship Id="rId11" Type="http://schemas.openxmlformats.org/officeDocument/2006/relationships/hyperlink" Target="https://kadastr.ru/magazine/articles/s-vidom-na-more-osobennosti-priobreteniya-nedvizhimosti-na-beregu/www.consultant.ru/document/cons_doc_LAW_60683/3c2db1a10c6e8645b2c6a6f77bdfd605634aa8b1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10" Type="http://schemas.openxmlformats.org/officeDocument/2006/relationships/hyperlink" Target="https://kadastr.ru/magazine/articles/s-vidom-na-more-osobennosti-priobreteniya-nedvizhimosti-na-beregu/kadastr.ru/services/publichnaya-kadastrovaya-karta/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kadastr.ru/magazine/articles/s-vidom-na-more-osobennosti-priobreteniya-nedvizhimosti-na-beregu/rosreestr.gov.ru/wps/portal/p/cc_present/EGRN_1" TargetMode="External"/><Relationship Id="rId14" Type="http://schemas.openxmlformats.org/officeDocument/2006/relationships/hyperlink" Target="https://kadastr.ru/magazine/articles/s-vidom-na-more-osobennosti-priobreteniya-nedvizhimosti-na-beregu/www.consultant.ru/document/cons_doc_LAW_60683/6b5a1a5be31654155a809da72f17be6ca6bf8c6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1380</Words>
  <Characters>7872</Characters>
  <Application>Microsoft Office Word</Application>
  <DocSecurity>0</DocSecurity>
  <Lines>65</Lines>
  <Paragraphs>18</Paragraphs>
  <ScaleCrop>false</ScaleCrop>
  <Company>Hewlett-Packard Company</Company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user2142</dc:creator>
  <cp:lastModifiedBy>73U</cp:lastModifiedBy>
  <cp:revision>2</cp:revision>
  <dcterms:created xsi:type="dcterms:W3CDTF">2020-11-10T11:49:00Z</dcterms:created>
  <dcterms:modified xsi:type="dcterms:W3CDTF">2020-11-10T11:49:00Z</dcterms:modified>
</cp:coreProperties>
</file>